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C9AAF" w14:textId="44F86F80" w:rsidR="00F830B1" w:rsidRDefault="00F830B1">
      <w:pPr>
        <w:jc w:val="center"/>
        <w:rPr>
          <w:b/>
          <w:sz w:val="24"/>
          <w:u w:val="single"/>
        </w:rPr>
      </w:pPr>
      <w:bookmarkStart w:id="0" w:name="_GoBack"/>
      <w:bookmarkEnd w:id="0"/>
      <w:r>
        <w:rPr>
          <w:b/>
          <w:sz w:val="24"/>
          <w:u w:val="single"/>
        </w:rPr>
        <w:t>GEORGIA POWER COMPANY</w:t>
      </w:r>
    </w:p>
    <w:p w14:paraId="3CD707D0" w14:textId="77777777" w:rsidR="00F830B1" w:rsidRDefault="00F830B1">
      <w:pPr>
        <w:jc w:val="center"/>
        <w:rPr>
          <w:b/>
          <w:sz w:val="24"/>
          <w:u w:val="single"/>
        </w:rPr>
      </w:pPr>
    </w:p>
    <w:p w14:paraId="2053810B" w14:textId="77777777" w:rsidR="00F830B1" w:rsidRDefault="00F830B1">
      <w:pPr>
        <w:jc w:val="center"/>
        <w:rPr>
          <w:b/>
          <w:sz w:val="24"/>
          <w:u w:val="single"/>
        </w:rPr>
      </w:pPr>
      <w:r>
        <w:rPr>
          <w:b/>
          <w:sz w:val="24"/>
          <w:u w:val="single"/>
        </w:rPr>
        <w:t>TAXES OTHER THAN INCOME TAXES</w:t>
      </w:r>
    </w:p>
    <w:p w14:paraId="3E8A4B9A" w14:textId="77777777" w:rsidR="00F830B1" w:rsidRDefault="00F830B1">
      <w:pPr>
        <w:jc w:val="center"/>
        <w:rPr>
          <w:b/>
          <w:sz w:val="24"/>
          <w:u w:val="single"/>
        </w:rPr>
      </w:pPr>
      <w:r>
        <w:rPr>
          <w:b/>
          <w:sz w:val="24"/>
          <w:u w:val="single"/>
        </w:rPr>
        <w:t xml:space="preserve">FOR THE TWELVE MONTHS ENDING </w:t>
      </w:r>
      <w:r w:rsidR="00121732">
        <w:rPr>
          <w:b/>
          <w:sz w:val="24"/>
          <w:u w:val="single"/>
        </w:rPr>
        <w:t>JULY</w:t>
      </w:r>
      <w:r>
        <w:rPr>
          <w:b/>
          <w:sz w:val="24"/>
          <w:u w:val="single"/>
        </w:rPr>
        <w:t xml:space="preserve"> 31, 20</w:t>
      </w:r>
      <w:r w:rsidR="00F86E8D">
        <w:rPr>
          <w:b/>
          <w:sz w:val="24"/>
          <w:u w:val="single"/>
        </w:rPr>
        <w:t>20</w:t>
      </w:r>
    </w:p>
    <w:p w14:paraId="5A832D28" w14:textId="77777777" w:rsidR="00F830B1" w:rsidRDefault="00F830B1"/>
    <w:p w14:paraId="75684C0B" w14:textId="77777777" w:rsidR="00125D25" w:rsidRDefault="00125D25"/>
    <w:p w14:paraId="3D3A2D25" w14:textId="77777777" w:rsidR="00F830B1" w:rsidRPr="007B3508" w:rsidRDefault="007B3508">
      <w:pPr>
        <w:rPr>
          <w:b/>
          <w:sz w:val="24"/>
        </w:rPr>
      </w:pPr>
      <w:r w:rsidRPr="007B3508">
        <w:rPr>
          <w:b/>
          <w:sz w:val="24"/>
        </w:rPr>
        <w:t xml:space="preserve">Cost of Service </w:t>
      </w:r>
      <w:r>
        <w:rPr>
          <w:b/>
          <w:sz w:val="24"/>
        </w:rPr>
        <w:t>Taxes Other Than Income Taxes:</w:t>
      </w:r>
    </w:p>
    <w:p w14:paraId="7BE2B4B0" w14:textId="2D0D9596" w:rsidR="00125D25" w:rsidRPr="00D77B33" w:rsidRDefault="00D77B33" w:rsidP="00DD68F0">
      <w:pPr>
        <w:pStyle w:val="BodyText"/>
        <w:jc w:val="both"/>
      </w:pPr>
      <w:r>
        <w:t xml:space="preserve">The </w:t>
      </w:r>
      <w:r w:rsidR="00F44CB7">
        <w:t>s</w:t>
      </w:r>
      <w:r w:rsidR="00F44CB7" w:rsidRPr="00D77B33">
        <w:t xml:space="preserve">chedule showing the computation of the test period Cost </w:t>
      </w:r>
      <w:r w:rsidR="00F44CB7">
        <w:t>o</w:t>
      </w:r>
      <w:r w:rsidR="00F44CB7" w:rsidRPr="00D77B33">
        <w:t xml:space="preserve">f Service </w:t>
      </w:r>
      <w:r w:rsidR="00F44CB7">
        <w:t>Taxes Other Than Income Taxes</w:t>
      </w:r>
      <w:r w:rsidR="00F44CB7" w:rsidRPr="00D77B33">
        <w:t xml:space="preserve"> </w:t>
      </w:r>
      <w:r w:rsidR="00DA3FFA">
        <w:t>estimated for the twelve months ending July 31, 20</w:t>
      </w:r>
      <w:r w:rsidR="0010713B">
        <w:t>20</w:t>
      </w:r>
      <w:r w:rsidR="00DA3FFA">
        <w:t xml:space="preserve"> </w:t>
      </w:r>
      <w:r w:rsidR="00F44CB7" w:rsidRPr="00D77B33">
        <w:t>is</w:t>
      </w:r>
      <w:r w:rsidR="0026630F">
        <w:t xml:space="preserve"> contained in Exhibit__</w:t>
      </w:r>
      <w:r w:rsidR="0024345D">
        <w:t>_</w:t>
      </w:r>
      <w:r w:rsidR="00483185">
        <w:t>(</w:t>
      </w:r>
      <w:r w:rsidR="008758B1">
        <w:t>DPP</w:t>
      </w:r>
      <w:r w:rsidRPr="00D77B33">
        <w:t>/</w:t>
      </w:r>
      <w:r w:rsidR="008758B1">
        <w:t>SPA</w:t>
      </w:r>
      <w:r w:rsidR="00CD333D">
        <w:t>/MBR</w:t>
      </w:r>
      <w:r w:rsidRPr="00D77B33">
        <w:t>-</w:t>
      </w:r>
      <w:r w:rsidR="00FE328B">
        <w:t>5</w:t>
      </w:r>
      <w:r w:rsidRPr="00D77B33">
        <w:t xml:space="preserve">, Schedule </w:t>
      </w:r>
      <w:r>
        <w:t>5</w:t>
      </w:r>
      <w:r w:rsidR="00483185">
        <w:t>)</w:t>
      </w:r>
      <w:r w:rsidRPr="00D77B33">
        <w:t>.</w:t>
      </w:r>
    </w:p>
    <w:p w14:paraId="433AB262" w14:textId="77777777" w:rsidR="00125D25" w:rsidRDefault="00125D25" w:rsidP="005C3386">
      <w:pPr>
        <w:pStyle w:val="BodyText"/>
      </w:pPr>
    </w:p>
    <w:p w14:paraId="3DDA298D" w14:textId="77777777" w:rsidR="007B3508" w:rsidRDefault="007B3508" w:rsidP="007B3508">
      <w:pPr>
        <w:rPr>
          <w:b/>
          <w:sz w:val="24"/>
        </w:rPr>
      </w:pPr>
      <w:r>
        <w:rPr>
          <w:b/>
          <w:sz w:val="24"/>
        </w:rPr>
        <w:t>Real and Personal Property Taxes:</w:t>
      </w:r>
    </w:p>
    <w:p w14:paraId="7578D8CA" w14:textId="77777777" w:rsidR="007B3508" w:rsidRDefault="007B3508" w:rsidP="007B3508">
      <w:pPr>
        <w:jc w:val="both"/>
        <w:rPr>
          <w:sz w:val="24"/>
        </w:rPr>
      </w:pPr>
      <w:r>
        <w:rPr>
          <w:sz w:val="24"/>
        </w:rPr>
        <w:t>Real and Personal Property Taxes for the twelve months ending July 31, 20</w:t>
      </w:r>
      <w:r w:rsidR="005B7678">
        <w:rPr>
          <w:sz w:val="24"/>
        </w:rPr>
        <w:t>20</w:t>
      </w:r>
      <w:r>
        <w:rPr>
          <w:sz w:val="24"/>
        </w:rPr>
        <w:t xml:space="preserve"> are estimated to total $</w:t>
      </w:r>
      <w:r w:rsidR="009D503E">
        <w:rPr>
          <w:sz w:val="24"/>
        </w:rPr>
        <w:t>228</w:t>
      </w:r>
      <w:r w:rsidR="00D2547D">
        <w:rPr>
          <w:sz w:val="24"/>
        </w:rPr>
        <w:t>.</w:t>
      </w:r>
      <w:r w:rsidR="005B7678">
        <w:rPr>
          <w:sz w:val="24"/>
        </w:rPr>
        <w:t>441</w:t>
      </w:r>
      <w:r w:rsidR="00D2547D">
        <w:rPr>
          <w:sz w:val="24"/>
        </w:rPr>
        <w:t xml:space="preserve"> million</w:t>
      </w:r>
      <w:r>
        <w:rPr>
          <w:sz w:val="24"/>
        </w:rPr>
        <w:t>.</w:t>
      </w:r>
    </w:p>
    <w:p w14:paraId="3821C408" w14:textId="77777777" w:rsidR="007B3508" w:rsidRDefault="007B3508" w:rsidP="007B3508">
      <w:pPr>
        <w:jc w:val="both"/>
        <w:rPr>
          <w:sz w:val="24"/>
        </w:rPr>
      </w:pPr>
    </w:p>
    <w:p w14:paraId="67058C7E" w14:textId="1FE9FB66" w:rsidR="004D1D67" w:rsidRDefault="007B3508" w:rsidP="00A33A83">
      <w:pPr>
        <w:pStyle w:val="BodyText"/>
        <w:jc w:val="both"/>
      </w:pPr>
      <w:r>
        <w:t>Real and Personal Property Taxes for the test period are based on the estimated fair market value of the Company a</w:t>
      </w:r>
      <w:r w:rsidR="00722952">
        <w:t>s of</w:t>
      </w:r>
      <w:r>
        <w:t xml:space="preserve"> January 1</w:t>
      </w:r>
      <w:r w:rsidR="002E129D">
        <w:t>,</w:t>
      </w:r>
      <w:r w:rsidR="002E129D">
        <w:rPr>
          <w:vertAlign w:val="superscript"/>
        </w:rPr>
        <w:t xml:space="preserve"> </w:t>
      </w:r>
      <w:r w:rsidR="00A65F4F">
        <w:t>2019 and 2020</w:t>
      </w:r>
      <w:r>
        <w:t xml:space="preserve">.  Non-taxable items such as pollution control equipment, </w:t>
      </w:r>
      <w:r w:rsidR="005B7678">
        <w:t>motor vehicles</w:t>
      </w:r>
      <w:r>
        <w:t xml:space="preserve">, and leasehold improvements are subtracted from the gross value.  The </w:t>
      </w:r>
      <w:r w:rsidR="00722952">
        <w:t xml:space="preserve">adjusted </w:t>
      </w:r>
      <w:r>
        <w:t xml:space="preserve">fair market value is multiplied by the estimated assessment ratios to arrive at the assessed value.  The assessed value is then multiplied by the estimated composite millage rate to calculate the amount of property tax liability.  </w:t>
      </w:r>
      <w:r w:rsidR="002E620C">
        <w:t>Pl</w:t>
      </w:r>
      <w:r>
        <w:t>ant balances</w:t>
      </w:r>
      <w:r w:rsidR="002E620C">
        <w:t xml:space="preserve"> and net operating income</w:t>
      </w:r>
      <w:r>
        <w:t xml:space="preserve"> are projected to increase in future years, resulting in an increase in the Company’s appraised value and tax liability. </w:t>
      </w:r>
      <w:r w:rsidR="00A33A83">
        <w:t>Of</w:t>
      </w:r>
      <w:r w:rsidR="004D1D67">
        <w:t xml:space="preserve"> all </w:t>
      </w:r>
      <w:r w:rsidR="0047634C">
        <w:t>real and personal property taxes</w:t>
      </w:r>
      <w:r w:rsidR="002E620C">
        <w:t xml:space="preserve"> projected for the test period, 99%</w:t>
      </w:r>
      <w:r w:rsidR="0047634C">
        <w:t xml:space="preserve"> is expected to</w:t>
      </w:r>
      <w:r w:rsidR="002E620C">
        <w:t xml:space="preserve"> be payable</w:t>
      </w:r>
      <w:r w:rsidR="0047634C">
        <w:t xml:space="preserve"> to the State of Georgia.</w:t>
      </w:r>
    </w:p>
    <w:p w14:paraId="006BA2FC" w14:textId="77777777" w:rsidR="0047634C" w:rsidRDefault="0047634C" w:rsidP="0047634C">
      <w:pPr>
        <w:pStyle w:val="BodyText"/>
        <w:jc w:val="both"/>
      </w:pPr>
    </w:p>
    <w:p w14:paraId="1F7E7ADD" w14:textId="77777777" w:rsidR="007B3508" w:rsidRDefault="007B3508" w:rsidP="007B3508">
      <w:pPr>
        <w:pStyle w:val="BodyText"/>
        <w:jc w:val="both"/>
        <w:rPr>
          <w:b/>
        </w:rPr>
      </w:pPr>
      <w:r>
        <w:rPr>
          <w:b/>
        </w:rPr>
        <w:t>Payroll Taxes:</w:t>
      </w:r>
    </w:p>
    <w:p w14:paraId="523C3119" w14:textId="304554B9" w:rsidR="007B3508" w:rsidRDefault="007B3508" w:rsidP="007B3508">
      <w:pPr>
        <w:pStyle w:val="BodyText"/>
        <w:jc w:val="both"/>
      </w:pPr>
      <w:r>
        <w:t xml:space="preserve">Payroll Taxes are computed using payroll history as a base and adjusted for changes in </w:t>
      </w:r>
      <w:r w:rsidR="00722952">
        <w:t>headcount</w:t>
      </w:r>
      <w:r>
        <w:t xml:space="preserve">, wages, and payroll tax rates. </w:t>
      </w:r>
    </w:p>
    <w:p w14:paraId="6A346A7D" w14:textId="77777777" w:rsidR="007B3508" w:rsidRDefault="007B3508" w:rsidP="007B3508">
      <w:pPr>
        <w:pStyle w:val="BodyText"/>
        <w:jc w:val="both"/>
      </w:pPr>
    </w:p>
    <w:p w14:paraId="77E63884" w14:textId="77777777" w:rsidR="007B3508" w:rsidRDefault="00722952" w:rsidP="007B3508">
      <w:pPr>
        <w:pStyle w:val="BodyText"/>
        <w:jc w:val="both"/>
        <w:rPr>
          <w:b/>
        </w:rPr>
      </w:pPr>
      <w:r>
        <w:rPr>
          <w:b/>
        </w:rPr>
        <w:t xml:space="preserve">Municipal </w:t>
      </w:r>
      <w:r w:rsidR="007B3508">
        <w:rPr>
          <w:b/>
        </w:rPr>
        <w:t>Franchise Fees:</w:t>
      </w:r>
    </w:p>
    <w:p w14:paraId="56130A80" w14:textId="5E168C10" w:rsidR="007B3508" w:rsidRDefault="007B3508" w:rsidP="007B3508">
      <w:pPr>
        <w:pStyle w:val="BodyText"/>
        <w:jc w:val="both"/>
      </w:pPr>
      <w:r>
        <w:t xml:space="preserve">Franchise fees are paid to municipalities </w:t>
      </w:r>
      <w:r w:rsidR="005B2DBA">
        <w:t>with</w:t>
      </w:r>
      <w:r>
        <w:t xml:space="preserve"> signed franchise agreements.  The franchise fee amount is computed</w:t>
      </w:r>
      <w:r w:rsidR="00722952">
        <w:t xml:space="preserve"> by applying 4% to</w:t>
      </w:r>
      <w:r>
        <w:t xml:space="preserve"> the total retail revenues billed within </w:t>
      </w:r>
      <w:r w:rsidR="00722952">
        <w:t>those</w:t>
      </w:r>
      <w:r>
        <w:t xml:space="preserve"> city limits.</w:t>
      </w:r>
      <w:r w:rsidR="00722952">
        <w:t xml:space="preserve"> The detailed calculation is provided in Exhibit</w:t>
      </w:r>
      <w:r w:rsidR="003528E8">
        <w:t>___(DPP/SPA</w:t>
      </w:r>
      <w:r w:rsidR="00CD333D">
        <w:t>/MBR</w:t>
      </w:r>
      <w:r w:rsidR="003528E8">
        <w:t xml:space="preserve">-1, Schedule </w:t>
      </w:r>
      <w:r w:rsidR="0024345D">
        <w:t>5</w:t>
      </w:r>
      <w:r w:rsidR="003528E8">
        <w:t xml:space="preserve"> MFF).</w:t>
      </w:r>
      <w:r>
        <w:t xml:space="preserve">  </w:t>
      </w:r>
    </w:p>
    <w:p w14:paraId="3386B5BB" w14:textId="77777777" w:rsidR="007B3508" w:rsidRDefault="007B3508" w:rsidP="007B3508">
      <w:pPr>
        <w:pStyle w:val="BodyText"/>
        <w:jc w:val="both"/>
      </w:pPr>
    </w:p>
    <w:p w14:paraId="51F6899E" w14:textId="53F57D47" w:rsidR="007B3508" w:rsidRDefault="00722952" w:rsidP="007B3508">
      <w:pPr>
        <w:pStyle w:val="BodyText"/>
        <w:jc w:val="both"/>
      </w:pPr>
      <w:r>
        <w:t>Municipal f</w:t>
      </w:r>
      <w:r w:rsidR="007B3508">
        <w:t xml:space="preserve">ranchise fees are collected from the </w:t>
      </w:r>
      <w:r w:rsidR="00933A48">
        <w:t>C</w:t>
      </w:r>
      <w:r w:rsidR="007B3508">
        <w:t>ompany’s cu</w:t>
      </w:r>
      <w:r w:rsidR="00581531">
        <w:t xml:space="preserve">stomers in accordance with the Commission </w:t>
      </w:r>
      <w:r w:rsidR="00933A48">
        <w:t>o</w:t>
      </w:r>
      <w:r w:rsidR="007B3508">
        <w:t xml:space="preserve">rder in </w:t>
      </w:r>
      <w:r w:rsidR="008F3E38">
        <w:t>Docket No. 21112</w:t>
      </w:r>
      <w:r w:rsidR="007B3508" w:rsidRPr="00B80181">
        <w:t>.</w:t>
      </w:r>
      <w:r w:rsidR="007B3508">
        <w:t xml:space="preserve">  Accordingly, the</w:t>
      </w:r>
      <w:r w:rsidR="003528E8">
        <w:t>y</w:t>
      </w:r>
      <w:r w:rsidR="00B33B17">
        <w:t xml:space="preserve"> </w:t>
      </w:r>
      <w:r w:rsidR="007B3508">
        <w:t xml:space="preserve">are collected through the Municipal Franchise Fee Tariff and have been removed from the </w:t>
      </w:r>
      <w:r w:rsidR="003528E8">
        <w:t xml:space="preserve">calculation of earnings deficiency </w:t>
      </w:r>
      <w:r w:rsidR="007B3508">
        <w:t xml:space="preserve">in determining the retail rate base revenue requirement.  </w:t>
      </w:r>
    </w:p>
    <w:p w14:paraId="7A0A658F" w14:textId="77777777" w:rsidR="00125D25" w:rsidRDefault="00125D25" w:rsidP="005C3386">
      <w:pPr>
        <w:pStyle w:val="BodyText"/>
      </w:pPr>
    </w:p>
    <w:p w14:paraId="7BE7261E" w14:textId="77777777" w:rsidR="004A34A9" w:rsidRDefault="004A34A9" w:rsidP="005C3386">
      <w:pPr>
        <w:pStyle w:val="BodyText"/>
      </w:pPr>
    </w:p>
    <w:p w14:paraId="6DAE40CF" w14:textId="77777777" w:rsidR="003979C9" w:rsidRDefault="003979C9" w:rsidP="005C3386">
      <w:pPr>
        <w:pStyle w:val="BodyText"/>
      </w:pPr>
    </w:p>
    <w:p w14:paraId="50F94567" w14:textId="77777777" w:rsidR="003979C9" w:rsidRDefault="003979C9" w:rsidP="005C3386">
      <w:pPr>
        <w:pStyle w:val="BodyText"/>
      </w:pPr>
    </w:p>
    <w:sectPr w:rsidR="003979C9" w:rsidSect="000C3B02">
      <w:headerReference w:type="default" r:id="rId7"/>
      <w:pgSz w:w="12240" w:h="15840"/>
      <w:pgMar w:top="1440" w:right="1080" w:bottom="720" w:left="1440" w:header="36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99A640" w14:textId="77777777" w:rsidR="00C34C90" w:rsidRDefault="00C34C90">
      <w:r>
        <w:separator/>
      </w:r>
    </w:p>
  </w:endnote>
  <w:endnote w:type="continuationSeparator" w:id="0">
    <w:p w14:paraId="1FD228CA" w14:textId="77777777" w:rsidR="00C34C90" w:rsidRDefault="00C34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23693F" w14:textId="77777777" w:rsidR="00C34C90" w:rsidRDefault="00C34C90">
      <w:r>
        <w:separator/>
      </w:r>
    </w:p>
  </w:footnote>
  <w:footnote w:type="continuationSeparator" w:id="0">
    <w:p w14:paraId="76CD0F90" w14:textId="77777777" w:rsidR="00C34C90" w:rsidRDefault="00C34C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3DB0D" w14:textId="77777777" w:rsidR="003979C9" w:rsidRPr="000B00A9" w:rsidRDefault="000B00A9">
    <w:pPr>
      <w:pStyle w:val="Header"/>
      <w:jc w:val="right"/>
      <w:rPr>
        <w:sz w:val="24"/>
        <w:szCs w:val="24"/>
      </w:rPr>
    </w:pPr>
    <w:r w:rsidRPr="000B00A9">
      <w:rPr>
        <w:sz w:val="24"/>
        <w:szCs w:val="24"/>
      </w:rPr>
      <w:t xml:space="preserve">Volume 1, </w:t>
    </w:r>
    <w:r w:rsidR="003979C9" w:rsidRPr="000B00A9">
      <w:rPr>
        <w:sz w:val="24"/>
        <w:szCs w:val="24"/>
      </w:rPr>
      <w:t>Exhibit 1</w:t>
    </w:r>
  </w:p>
  <w:sdt>
    <w:sdtPr>
      <w:rPr>
        <w:sz w:val="24"/>
        <w:szCs w:val="24"/>
      </w:rPr>
      <w:id w:val="565053189"/>
      <w:docPartObj>
        <w:docPartGallery w:val="Page Numbers (Top of Page)"/>
        <w:docPartUnique/>
      </w:docPartObj>
    </w:sdtPr>
    <w:sdtEndPr/>
    <w:sdtContent>
      <w:p w14:paraId="29874B9B" w14:textId="77777777" w:rsidR="003979C9" w:rsidRPr="000B00A9" w:rsidRDefault="003979C9">
        <w:pPr>
          <w:pStyle w:val="Header"/>
          <w:jc w:val="right"/>
          <w:rPr>
            <w:sz w:val="24"/>
            <w:szCs w:val="24"/>
          </w:rPr>
        </w:pPr>
        <w:r w:rsidRPr="000B00A9">
          <w:rPr>
            <w:sz w:val="24"/>
            <w:szCs w:val="24"/>
          </w:rPr>
          <w:t>M.F.R. Item - C-2</w:t>
        </w:r>
      </w:p>
      <w:p w14:paraId="466C3088" w14:textId="77777777" w:rsidR="003979C9" w:rsidRPr="000B00A9" w:rsidRDefault="003979C9">
        <w:pPr>
          <w:pStyle w:val="Header"/>
          <w:jc w:val="right"/>
          <w:rPr>
            <w:sz w:val="24"/>
            <w:szCs w:val="24"/>
          </w:rPr>
        </w:pPr>
        <w:r w:rsidRPr="000B00A9">
          <w:rPr>
            <w:sz w:val="24"/>
            <w:szCs w:val="24"/>
          </w:rPr>
          <w:t xml:space="preserve">Page </w:t>
        </w:r>
        <w:r w:rsidR="00944F88" w:rsidRPr="000B00A9">
          <w:rPr>
            <w:sz w:val="24"/>
            <w:szCs w:val="24"/>
          </w:rPr>
          <w:fldChar w:fldCharType="begin"/>
        </w:r>
        <w:r w:rsidR="00837B11" w:rsidRPr="000B00A9">
          <w:rPr>
            <w:sz w:val="24"/>
            <w:szCs w:val="24"/>
          </w:rPr>
          <w:instrText xml:space="preserve"> PAGE </w:instrText>
        </w:r>
        <w:r w:rsidR="00944F88" w:rsidRPr="000B00A9">
          <w:rPr>
            <w:sz w:val="24"/>
            <w:szCs w:val="24"/>
          </w:rPr>
          <w:fldChar w:fldCharType="separate"/>
        </w:r>
        <w:r w:rsidR="00A64F52">
          <w:rPr>
            <w:noProof/>
            <w:sz w:val="24"/>
            <w:szCs w:val="24"/>
          </w:rPr>
          <w:t>1</w:t>
        </w:r>
        <w:r w:rsidR="00944F88" w:rsidRPr="000B00A9">
          <w:rPr>
            <w:sz w:val="24"/>
            <w:szCs w:val="24"/>
          </w:rPr>
          <w:fldChar w:fldCharType="end"/>
        </w:r>
        <w:r w:rsidRPr="000B00A9">
          <w:rPr>
            <w:sz w:val="24"/>
            <w:szCs w:val="24"/>
          </w:rPr>
          <w:t xml:space="preserve"> of </w:t>
        </w:r>
        <w:r w:rsidR="00944F88" w:rsidRPr="000B00A9">
          <w:rPr>
            <w:sz w:val="24"/>
            <w:szCs w:val="24"/>
          </w:rPr>
          <w:fldChar w:fldCharType="begin"/>
        </w:r>
        <w:r w:rsidR="00837B11" w:rsidRPr="000B00A9">
          <w:rPr>
            <w:sz w:val="24"/>
            <w:szCs w:val="24"/>
          </w:rPr>
          <w:instrText xml:space="preserve"> NUMPAGES  </w:instrText>
        </w:r>
        <w:r w:rsidR="00944F88" w:rsidRPr="000B00A9">
          <w:rPr>
            <w:sz w:val="24"/>
            <w:szCs w:val="24"/>
          </w:rPr>
          <w:fldChar w:fldCharType="separate"/>
        </w:r>
        <w:r w:rsidR="00A64F52">
          <w:rPr>
            <w:noProof/>
            <w:sz w:val="24"/>
            <w:szCs w:val="24"/>
          </w:rPr>
          <w:t>1</w:t>
        </w:r>
        <w:r w:rsidR="00944F88" w:rsidRPr="000B00A9">
          <w:rPr>
            <w:sz w:val="24"/>
            <w:szCs w:val="24"/>
          </w:rPr>
          <w:fldChar w:fldCharType="end"/>
        </w:r>
      </w:p>
    </w:sdtContent>
  </w:sdt>
  <w:p w14:paraId="3F8EA63A" w14:textId="77777777" w:rsidR="002C434D" w:rsidRDefault="002C434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D12401"/>
    <w:multiLevelType w:val="hybridMultilevel"/>
    <w:tmpl w:val="AD923938"/>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ED95D30"/>
    <w:multiLevelType w:val="multilevel"/>
    <w:tmpl w:val="26D8B4C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C13"/>
    <w:rsid w:val="00015691"/>
    <w:rsid w:val="000241E1"/>
    <w:rsid w:val="000457DC"/>
    <w:rsid w:val="000B00A9"/>
    <w:rsid w:val="000C3B02"/>
    <w:rsid w:val="001025EE"/>
    <w:rsid w:val="0010713B"/>
    <w:rsid w:val="00121732"/>
    <w:rsid w:val="00121BD0"/>
    <w:rsid w:val="001235D6"/>
    <w:rsid w:val="00125D25"/>
    <w:rsid w:val="001304E6"/>
    <w:rsid w:val="00147BA8"/>
    <w:rsid w:val="0018400A"/>
    <w:rsid w:val="001E1722"/>
    <w:rsid w:val="002051EE"/>
    <w:rsid w:val="002332AA"/>
    <w:rsid w:val="0023427F"/>
    <w:rsid w:val="0024345D"/>
    <w:rsid w:val="0026630F"/>
    <w:rsid w:val="00272D84"/>
    <w:rsid w:val="002740B7"/>
    <w:rsid w:val="00291DBE"/>
    <w:rsid w:val="002C434D"/>
    <w:rsid w:val="002E129D"/>
    <w:rsid w:val="002E620C"/>
    <w:rsid w:val="00302EC4"/>
    <w:rsid w:val="00322144"/>
    <w:rsid w:val="003227A8"/>
    <w:rsid w:val="003528E8"/>
    <w:rsid w:val="0037426F"/>
    <w:rsid w:val="003953B6"/>
    <w:rsid w:val="003979C9"/>
    <w:rsid w:val="003E030B"/>
    <w:rsid w:val="00414562"/>
    <w:rsid w:val="00426296"/>
    <w:rsid w:val="00446F51"/>
    <w:rsid w:val="0045103D"/>
    <w:rsid w:val="00470923"/>
    <w:rsid w:val="0047634C"/>
    <w:rsid w:val="00483185"/>
    <w:rsid w:val="004915A1"/>
    <w:rsid w:val="004A34A9"/>
    <w:rsid w:val="004D1D67"/>
    <w:rsid w:val="005044A7"/>
    <w:rsid w:val="005136E1"/>
    <w:rsid w:val="00535F4C"/>
    <w:rsid w:val="00553695"/>
    <w:rsid w:val="00555046"/>
    <w:rsid w:val="00556278"/>
    <w:rsid w:val="005565B1"/>
    <w:rsid w:val="00581531"/>
    <w:rsid w:val="005B2DBA"/>
    <w:rsid w:val="005B7678"/>
    <w:rsid w:val="005C1765"/>
    <w:rsid w:val="005C2BD8"/>
    <w:rsid w:val="005C3386"/>
    <w:rsid w:val="005D3B4A"/>
    <w:rsid w:val="005E4DE5"/>
    <w:rsid w:val="005E7820"/>
    <w:rsid w:val="0060283C"/>
    <w:rsid w:val="006302E1"/>
    <w:rsid w:val="00641F1E"/>
    <w:rsid w:val="006428D6"/>
    <w:rsid w:val="0065586B"/>
    <w:rsid w:val="00665C43"/>
    <w:rsid w:val="006C03EE"/>
    <w:rsid w:val="006C60A4"/>
    <w:rsid w:val="006E2089"/>
    <w:rsid w:val="0070025D"/>
    <w:rsid w:val="00710CB9"/>
    <w:rsid w:val="00717F8F"/>
    <w:rsid w:val="00722952"/>
    <w:rsid w:val="00735E8D"/>
    <w:rsid w:val="00752258"/>
    <w:rsid w:val="007B3508"/>
    <w:rsid w:val="007D2C98"/>
    <w:rsid w:val="007F2824"/>
    <w:rsid w:val="0081055E"/>
    <w:rsid w:val="00837B11"/>
    <w:rsid w:val="008665B7"/>
    <w:rsid w:val="00870411"/>
    <w:rsid w:val="008758B1"/>
    <w:rsid w:val="00883D2A"/>
    <w:rsid w:val="008A7A37"/>
    <w:rsid w:val="008E6591"/>
    <w:rsid w:val="008F15F4"/>
    <w:rsid w:val="008F3E38"/>
    <w:rsid w:val="008F6573"/>
    <w:rsid w:val="00914CE9"/>
    <w:rsid w:val="00933A48"/>
    <w:rsid w:val="00943CFB"/>
    <w:rsid w:val="00944F88"/>
    <w:rsid w:val="00955400"/>
    <w:rsid w:val="00973CCC"/>
    <w:rsid w:val="009B42B0"/>
    <w:rsid w:val="009B7533"/>
    <w:rsid w:val="009D0EFB"/>
    <w:rsid w:val="009D503E"/>
    <w:rsid w:val="009E543E"/>
    <w:rsid w:val="00A2794C"/>
    <w:rsid w:val="00A33A83"/>
    <w:rsid w:val="00A559F5"/>
    <w:rsid w:val="00A64F52"/>
    <w:rsid w:val="00A65F4F"/>
    <w:rsid w:val="00AA77CF"/>
    <w:rsid w:val="00AB3606"/>
    <w:rsid w:val="00AB5A22"/>
    <w:rsid w:val="00AB777C"/>
    <w:rsid w:val="00AD590B"/>
    <w:rsid w:val="00B25344"/>
    <w:rsid w:val="00B33B17"/>
    <w:rsid w:val="00B41F80"/>
    <w:rsid w:val="00B71271"/>
    <w:rsid w:val="00B7741A"/>
    <w:rsid w:val="00B979F0"/>
    <w:rsid w:val="00BA13D1"/>
    <w:rsid w:val="00BB20DF"/>
    <w:rsid w:val="00C017B4"/>
    <w:rsid w:val="00C15576"/>
    <w:rsid w:val="00C34C90"/>
    <w:rsid w:val="00C4209B"/>
    <w:rsid w:val="00C548F6"/>
    <w:rsid w:val="00C61C8B"/>
    <w:rsid w:val="00CA55D6"/>
    <w:rsid w:val="00CB1EB9"/>
    <w:rsid w:val="00CB50D2"/>
    <w:rsid w:val="00CB644F"/>
    <w:rsid w:val="00CB7DEB"/>
    <w:rsid w:val="00CD333D"/>
    <w:rsid w:val="00CF644E"/>
    <w:rsid w:val="00D01957"/>
    <w:rsid w:val="00D223AF"/>
    <w:rsid w:val="00D2547D"/>
    <w:rsid w:val="00D356AC"/>
    <w:rsid w:val="00D60C13"/>
    <w:rsid w:val="00D77B33"/>
    <w:rsid w:val="00DA3FFA"/>
    <w:rsid w:val="00DB20F7"/>
    <w:rsid w:val="00DC7874"/>
    <w:rsid w:val="00DD68F0"/>
    <w:rsid w:val="00DE43AE"/>
    <w:rsid w:val="00E024E2"/>
    <w:rsid w:val="00E054C0"/>
    <w:rsid w:val="00E1587C"/>
    <w:rsid w:val="00E21130"/>
    <w:rsid w:val="00E36A14"/>
    <w:rsid w:val="00E57845"/>
    <w:rsid w:val="00EA4CFB"/>
    <w:rsid w:val="00EB78B9"/>
    <w:rsid w:val="00EE36DB"/>
    <w:rsid w:val="00F44CB7"/>
    <w:rsid w:val="00F53486"/>
    <w:rsid w:val="00F6465F"/>
    <w:rsid w:val="00F73262"/>
    <w:rsid w:val="00F7716F"/>
    <w:rsid w:val="00F830B1"/>
    <w:rsid w:val="00F85957"/>
    <w:rsid w:val="00F86E8D"/>
    <w:rsid w:val="00F95565"/>
    <w:rsid w:val="00FA41DB"/>
    <w:rsid w:val="00FA494B"/>
    <w:rsid w:val="00FB52B7"/>
    <w:rsid w:val="00FC512A"/>
    <w:rsid w:val="00FE328B"/>
    <w:rsid w:val="00FE5044"/>
    <w:rsid w:val="00FE7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C596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C3B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C3B02"/>
    <w:rPr>
      <w:sz w:val="24"/>
    </w:rPr>
  </w:style>
  <w:style w:type="paragraph" w:styleId="Header">
    <w:name w:val="header"/>
    <w:basedOn w:val="Normal"/>
    <w:link w:val="HeaderChar"/>
    <w:uiPriority w:val="99"/>
    <w:rsid w:val="000C3B02"/>
    <w:pPr>
      <w:tabs>
        <w:tab w:val="center" w:pos="4320"/>
        <w:tab w:val="right" w:pos="8640"/>
      </w:tabs>
    </w:pPr>
  </w:style>
  <w:style w:type="paragraph" w:styleId="Footer">
    <w:name w:val="footer"/>
    <w:basedOn w:val="Normal"/>
    <w:rsid w:val="000C3B02"/>
    <w:pPr>
      <w:tabs>
        <w:tab w:val="center" w:pos="4320"/>
        <w:tab w:val="right" w:pos="8640"/>
      </w:tabs>
    </w:pPr>
  </w:style>
  <w:style w:type="table" w:styleId="TableGrid">
    <w:name w:val="Table Grid"/>
    <w:basedOn w:val="TableNormal"/>
    <w:rsid w:val="005C33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21130"/>
    <w:rPr>
      <w:rFonts w:ascii="Tahoma" w:hAnsi="Tahoma" w:cs="Tahoma"/>
      <w:sz w:val="16"/>
      <w:szCs w:val="16"/>
    </w:rPr>
  </w:style>
  <w:style w:type="character" w:customStyle="1" w:styleId="HeaderChar">
    <w:name w:val="Header Char"/>
    <w:basedOn w:val="DefaultParagraphFont"/>
    <w:link w:val="Header"/>
    <w:uiPriority w:val="99"/>
    <w:rsid w:val="003979C9"/>
  </w:style>
  <w:style w:type="character" w:styleId="CommentReference">
    <w:name w:val="annotation reference"/>
    <w:basedOn w:val="DefaultParagraphFont"/>
    <w:semiHidden/>
    <w:unhideWhenUsed/>
    <w:rsid w:val="00722952"/>
    <w:rPr>
      <w:sz w:val="16"/>
      <w:szCs w:val="16"/>
    </w:rPr>
  </w:style>
  <w:style w:type="paragraph" w:styleId="CommentText">
    <w:name w:val="annotation text"/>
    <w:basedOn w:val="Normal"/>
    <w:link w:val="CommentTextChar"/>
    <w:semiHidden/>
    <w:unhideWhenUsed/>
    <w:rsid w:val="00722952"/>
  </w:style>
  <w:style w:type="character" w:customStyle="1" w:styleId="CommentTextChar">
    <w:name w:val="Comment Text Char"/>
    <w:basedOn w:val="DefaultParagraphFont"/>
    <w:link w:val="CommentText"/>
    <w:semiHidden/>
    <w:rsid w:val="00722952"/>
  </w:style>
  <w:style w:type="paragraph" w:styleId="CommentSubject">
    <w:name w:val="annotation subject"/>
    <w:basedOn w:val="CommentText"/>
    <w:next w:val="CommentText"/>
    <w:link w:val="CommentSubjectChar"/>
    <w:semiHidden/>
    <w:unhideWhenUsed/>
    <w:rsid w:val="00722952"/>
    <w:rPr>
      <w:b/>
      <w:bCs/>
    </w:rPr>
  </w:style>
  <w:style w:type="character" w:customStyle="1" w:styleId="CommentSubjectChar">
    <w:name w:val="Comment Subject Char"/>
    <w:basedOn w:val="CommentTextChar"/>
    <w:link w:val="CommentSubject"/>
    <w:semiHidden/>
    <w:rsid w:val="00722952"/>
    <w:rPr>
      <w:b/>
      <w:bCs/>
    </w:rPr>
  </w:style>
  <w:style w:type="paragraph" w:styleId="Revision">
    <w:name w:val="Revision"/>
    <w:hidden/>
    <w:uiPriority w:val="99"/>
    <w:semiHidden/>
    <w:rsid w:val="003528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239499">
      <w:bodyDiv w:val="1"/>
      <w:marLeft w:val="0"/>
      <w:marRight w:val="0"/>
      <w:marTop w:val="0"/>
      <w:marBottom w:val="0"/>
      <w:divBdr>
        <w:top w:val="none" w:sz="0" w:space="0" w:color="auto"/>
        <w:left w:val="none" w:sz="0" w:space="0" w:color="auto"/>
        <w:bottom w:val="none" w:sz="0" w:space="0" w:color="auto"/>
        <w:right w:val="none" w:sz="0" w:space="0" w:color="auto"/>
      </w:divBdr>
    </w:div>
    <w:div w:id="1577546117">
      <w:bodyDiv w:val="1"/>
      <w:marLeft w:val="0"/>
      <w:marRight w:val="0"/>
      <w:marTop w:val="0"/>
      <w:marBottom w:val="0"/>
      <w:divBdr>
        <w:top w:val="none" w:sz="0" w:space="0" w:color="auto"/>
        <w:left w:val="none" w:sz="0" w:space="0" w:color="auto"/>
        <w:bottom w:val="none" w:sz="0" w:space="0" w:color="auto"/>
        <w:right w:val="none" w:sz="0" w:space="0" w:color="auto"/>
      </w:divBdr>
    </w:div>
    <w:div w:id="159135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1780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2019-05-15T14:14:00Z</dcterms:created>
  <dcterms:modified xsi:type="dcterms:W3CDTF">2019-06-25T19:48:00Z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